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E6355">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33F101CF">
      <w:pPr>
        <w:spacing w:line="540" w:lineRule="exact"/>
        <w:jc w:val="center"/>
        <w:rPr>
          <w:rFonts w:ascii="方正小标宋_GBK" w:hAnsi="华文中宋" w:eastAsia="方正小标宋_GBK" w:cs="宋体"/>
          <w:b/>
          <w:kern w:val="0"/>
          <w:sz w:val="48"/>
          <w:szCs w:val="48"/>
        </w:rPr>
      </w:pPr>
    </w:p>
    <w:p w14:paraId="251525CE">
      <w:pPr>
        <w:spacing w:line="540" w:lineRule="exact"/>
        <w:jc w:val="center"/>
        <w:rPr>
          <w:rFonts w:ascii="方正小标宋_GBK" w:hAnsi="华文中宋" w:eastAsia="方正小标宋_GBK" w:cs="宋体"/>
          <w:b/>
          <w:kern w:val="0"/>
          <w:sz w:val="48"/>
          <w:szCs w:val="48"/>
        </w:rPr>
      </w:pPr>
    </w:p>
    <w:p w14:paraId="597B9ED6">
      <w:pPr>
        <w:spacing w:line="540" w:lineRule="exact"/>
        <w:jc w:val="center"/>
        <w:rPr>
          <w:rFonts w:ascii="方正小标宋_GBK" w:hAnsi="华文中宋" w:eastAsia="方正小标宋_GBK" w:cs="宋体"/>
          <w:b/>
          <w:kern w:val="0"/>
          <w:sz w:val="48"/>
          <w:szCs w:val="48"/>
        </w:rPr>
      </w:pPr>
    </w:p>
    <w:p w14:paraId="388DC2EC">
      <w:pPr>
        <w:spacing w:line="540" w:lineRule="exact"/>
        <w:jc w:val="center"/>
        <w:rPr>
          <w:rFonts w:ascii="方正小标宋_GBK" w:hAnsi="华文中宋" w:eastAsia="方正小标宋_GBK" w:cs="宋体"/>
          <w:b/>
          <w:kern w:val="0"/>
          <w:sz w:val="48"/>
          <w:szCs w:val="48"/>
        </w:rPr>
      </w:pPr>
    </w:p>
    <w:p w14:paraId="1951D723">
      <w:pPr>
        <w:spacing w:line="540" w:lineRule="exact"/>
        <w:jc w:val="center"/>
        <w:rPr>
          <w:rFonts w:ascii="方正小标宋_GBK" w:hAnsi="华文中宋" w:eastAsia="方正小标宋_GBK" w:cs="宋体"/>
          <w:b/>
          <w:kern w:val="0"/>
          <w:sz w:val="48"/>
          <w:szCs w:val="48"/>
        </w:rPr>
      </w:pPr>
    </w:p>
    <w:p w14:paraId="7C397E7D">
      <w:pPr>
        <w:spacing w:line="540" w:lineRule="exact"/>
        <w:jc w:val="center"/>
        <w:rPr>
          <w:rFonts w:ascii="方正小标宋_GBK" w:hAnsi="华文中宋" w:eastAsia="方正小标宋_GBK" w:cs="宋体"/>
          <w:b/>
          <w:kern w:val="0"/>
          <w:sz w:val="48"/>
          <w:szCs w:val="48"/>
        </w:rPr>
      </w:pPr>
    </w:p>
    <w:p w14:paraId="30DB65C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29CD818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21E2618B">
      <w:pPr>
        <w:spacing w:line="540" w:lineRule="exact"/>
        <w:jc w:val="center"/>
        <w:rPr>
          <w:rFonts w:ascii="华文中宋" w:hAnsi="华文中宋" w:eastAsia="华文中宋" w:cs="宋体"/>
          <w:b/>
          <w:kern w:val="0"/>
          <w:sz w:val="52"/>
          <w:szCs w:val="52"/>
        </w:rPr>
      </w:pPr>
    </w:p>
    <w:p w14:paraId="2BE0D13B">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529D636">
      <w:pPr>
        <w:spacing w:line="700" w:lineRule="exact"/>
        <w:jc w:val="left"/>
        <w:rPr>
          <w:rFonts w:hint="eastAsia" w:hAnsi="宋体" w:eastAsia="仿宋_GB2312" w:cs="宋体"/>
          <w:kern w:val="0"/>
          <w:sz w:val="36"/>
          <w:szCs w:val="36"/>
        </w:rPr>
      </w:pPr>
    </w:p>
    <w:p w14:paraId="1CCB39BF">
      <w:pPr>
        <w:spacing w:line="700" w:lineRule="exact"/>
        <w:jc w:val="left"/>
        <w:rPr>
          <w:rFonts w:hint="eastAsia" w:hAnsi="宋体" w:eastAsia="仿宋_GB2312" w:cs="宋体"/>
          <w:kern w:val="0"/>
          <w:sz w:val="36"/>
          <w:szCs w:val="36"/>
        </w:rPr>
      </w:pPr>
    </w:p>
    <w:p w14:paraId="51E71C89">
      <w:pPr>
        <w:spacing w:line="700" w:lineRule="exact"/>
        <w:jc w:val="left"/>
        <w:rPr>
          <w:rFonts w:hint="eastAsia" w:hAnsi="宋体" w:eastAsia="仿宋_GB2312" w:cs="宋体"/>
          <w:kern w:val="0"/>
          <w:sz w:val="36"/>
          <w:szCs w:val="36"/>
          <w:lang w:eastAsia="zh-CN"/>
        </w:rPr>
      </w:pPr>
    </w:p>
    <w:p w14:paraId="6D31DBBD">
      <w:pPr>
        <w:spacing w:line="700" w:lineRule="exact"/>
        <w:jc w:val="left"/>
        <w:rPr>
          <w:rFonts w:hint="eastAsia" w:hAnsi="宋体" w:eastAsia="仿宋_GB2312" w:cs="宋体"/>
          <w:kern w:val="0"/>
          <w:sz w:val="36"/>
          <w:szCs w:val="36"/>
          <w:lang w:eastAsia="zh-CN"/>
        </w:rPr>
      </w:pPr>
    </w:p>
    <w:p w14:paraId="7E119A33">
      <w:pPr>
        <w:spacing w:line="700" w:lineRule="exact"/>
        <w:jc w:val="left"/>
        <w:rPr>
          <w:rFonts w:hint="eastAsia" w:hAnsi="宋体" w:eastAsia="仿宋_GB2312" w:cs="宋体"/>
          <w:kern w:val="0"/>
          <w:sz w:val="36"/>
          <w:szCs w:val="36"/>
          <w:lang w:eastAsia="zh-CN"/>
        </w:rPr>
      </w:pPr>
    </w:p>
    <w:p w14:paraId="164BBB4D">
      <w:pPr>
        <w:spacing w:line="700" w:lineRule="exact"/>
        <w:jc w:val="left"/>
        <w:rPr>
          <w:rFonts w:hint="eastAsia" w:hAnsi="宋体" w:eastAsia="仿宋_GB2312" w:cs="宋体"/>
          <w:kern w:val="0"/>
          <w:sz w:val="36"/>
          <w:szCs w:val="36"/>
          <w:lang w:eastAsia="zh-CN"/>
        </w:rPr>
      </w:pPr>
    </w:p>
    <w:p w14:paraId="04380CB4">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克州科技交流中心</w:t>
      </w:r>
    </w:p>
    <w:p w14:paraId="63AE8F4F">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05724965">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3EB1E6C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730BB67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1.部门工作职能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（1）开展创新战略的规划，提出指导科技交流研究的参考建议；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（2）加强理论创新、思想创新和方法创新的研究，对技术成果起到引导和示范作用；</w:t>
      </w:r>
      <w:r>
        <w:rPr>
          <w:rFonts w:hint="eastAsia" w:ascii="仿宋_GB2312" w:hAnsi="宋体" w:eastAsia="仿宋_GB2312"/>
          <w:b w:val="0"/>
          <w:bCs/>
          <w:sz w:val="32"/>
          <w:szCs w:val="32"/>
        </w:rPr>
        <w:cr/>
      </w:r>
      <w:r>
        <w:rPr>
          <w:rFonts w:hint="eastAsia" w:ascii="仿宋_GB2312" w:hAnsi="宋体" w:eastAsia="仿宋_GB2312"/>
          <w:b w:val="0"/>
          <w:bCs/>
          <w:sz w:val="32"/>
          <w:szCs w:val="32"/>
        </w:rPr>
        <w:t>　　(3)坚持政府导向、科技需求为主的选题原则，积极与自治区科技发展战略研究院进行合作，开展科技工作前期调研、选题、查新的工作；接受政府部门、企业和研究机构、社团组织的委托进行政策提供和咨询工作；培养和建设科技战略人才骨干队伍，为科技交流和科技局的中心工作提供决策咨询；</w:t>
      </w:r>
      <w:r>
        <w:rPr>
          <w:rFonts w:hint="eastAsia" w:ascii="仿宋_GB2312" w:hAnsi="宋体" w:eastAsia="仿宋_GB2312"/>
          <w:b w:val="0"/>
          <w:bCs/>
          <w:sz w:val="32"/>
          <w:szCs w:val="32"/>
        </w:rPr>
        <w:cr/>
      </w:r>
      <w:r>
        <w:rPr>
          <w:rFonts w:hint="eastAsia" w:ascii="仿宋_GB2312" w:hAnsi="宋体" w:eastAsia="仿宋_GB2312"/>
          <w:b w:val="0"/>
          <w:bCs/>
          <w:sz w:val="32"/>
          <w:szCs w:val="32"/>
        </w:rPr>
        <w:t>　　（4）建立开放式的科技合作交流平台，做好科技信息服务工作。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克州科技交流中心编制数4，实有人数13人，其中：在职人数4人，9退休人。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一）加强理论学习。高度重视、加强领导、精心组织，切实学习贯彻落实习近平新时代中国特色社会主义思想、习近平总书记关于新疆工作重要指示精神以及习近平总书记关于脱贫攻坚重要讲话内容，在学懂、弄通、做实上下功夫，牢固树立“四个意识”，坚定“四个自信”，坚决维护习近平总书记在党中央和全党的核心地位、维护党中央权威和集中统一领导，自觉在思想上政治上行动上同以习近平同志为核心的党中央保持高度一致，聚焦总目标，打赢残疾人脱贫攻坚战。</w:t>
      </w:r>
      <w:r>
        <w:rPr>
          <w:rFonts w:hint="eastAsia" w:ascii="仿宋_GB2312" w:hAnsi="宋体" w:eastAsia="仿宋_GB2312"/>
          <w:b w:val="0"/>
          <w:bCs/>
          <w:sz w:val="32"/>
          <w:szCs w:val="32"/>
        </w:rPr>
        <w:cr/>
      </w:r>
      <w:r>
        <w:rPr>
          <w:rFonts w:hint="eastAsia" w:ascii="仿宋_GB2312" w:hAnsi="宋体" w:eastAsia="仿宋_GB2312"/>
          <w:b w:val="0"/>
          <w:bCs/>
          <w:sz w:val="32"/>
          <w:szCs w:val="32"/>
        </w:rPr>
        <w:t>　　（二）加强党建和党员管理工作。一是采取领学宣讲、党课辅导、交流讨论等方式，组织党员集中</w:t>
      </w:r>
      <w:r>
        <w:rPr>
          <w:rFonts w:hint="eastAsia" w:ascii="仿宋_GB2312" w:hAnsi="宋体" w:eastAsia="仿宋_GB2312"/>
          <w:b w:val="0"/>
          <w:bCs/>
          <w:sz w:val="32"/>
          <w:szCs w:val="32"/>
          <w:lang w:eastAsia="zh-CN"/>
        </w:rPr>
        <w:t>学习习近平新时代中国特色社会主义思想</w:t>
      </w:r>
      <w:r>
        <w:rPr>
          <w:rFonts w:hint="eastAsia" w:ascii="仿宋_GB2312" w:hAnsi="宋体" w:eastAsia="仿宋_GB2312"/>
          <w:b w:val="0"/>
          <w:bCs/>
          <w:sz w:val="32"/>
          <w:szCs w:val="32"/>
        </w:rPr>
        <w:t>、</w:t>
      </w:r>
      <w:r>
        <w:rPr>
          <w:rFonts w:hint="eastAsia" w:ascii="仿宋_GB2312" w:hAnsi="宋体" w:eastAsia="仿宋_GB2312"/>
          <w:b w:val="0"/>
          <w:bCs/>
          <w:sz w:val="32"/>
          <w:szCs w:val="32"/>
          <w:lang w:eastAsia="zh-CN"/>
        </w:rPr>
        <w:t>党的十九大精神</w:t>
      </w:r>
      <w:r>
        <w:rPr>
          <w:rFonts w:hint="eastAsia" w:ascii="仿宋_GB2312" w:hAnsi="宋体" w:eastAsia="仿宋_GB2312"/>
          <w:b w:val="0"/>
          <w:bCs/>
          <w:sz w:val="32"/>
          <w:szCs w:val="32"/>
        </w:rPr>
        <w:t>和党章，不断提高党员的思想理论水平，引导党员团结奋进、振奋精神，为完成各项工作任务和目标奠定扎实的思想基础。二是切实发挥党支部的战斗堡垒作用 ，严格制度和纪律，保证组织生活质量。坚持“三会一课”制度，召开党员大会、支部委员会和党员小组会议，支部书记每年度至少讲一次党课。三是完善并落实党内和机关的各项制度，督促党员干部执行到位。组织党员积极开展批评与自我批评，查找并改进自身的不足，倡导自我管理、自我教育、自我服务，强化党员干部的纪律观念。</w:t>
      </w:r>
      <w:r>
        <w:rPr>
          <w:rFonts w:hint="eastAsia" w:ascii="仿宋_GB2312" w:hAnsi="宋体" w:eastAsia="仿宋_GB2312"/>
          <w:b w:val="0"/>
          <w:bCs/>
          <w:sz w:val="32"/>
          <w:szCs w:val="32"/>
        </w:rPr>
        <w:cr/>
      </w:r>
      <w:r>
        <w:rPr>
          <w:rFonts w:hint="eastAsia" w:ascii="仿宋_GB2312" w:hAnsi="宋体" w:eastAsia="仿宋_GB2312"/>
          <w:b w:val="0"/>
          <w:bCs/>
          <w:sz w:val="32"/>
          <w:szCs w:val="32"/>
        </w:rPr>
        <w:t>　　（三）加强廉政建设，执行总目标、落实治党责任。进一步强化党风廉政教育，定期组织廉政知识学习，观看廉政教育片，带头遵守党纪国法，带头讲党性、守原则，树立正确的世界观、人生观和价值观，从思想上筑起抵御腐朽思想侵蚀的坚固防线。完善与干部职工定期谈心谈话制度，疏导干部职工存在的不良情绪，提升工作的积极性和主动性，消除精神状态不佳、工作节奏不快等现象，教育引导干部职工立德慎言，防微杜渐，自觉抵制各种不正之风。</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科技交流中心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（2）收支管理：领导层是本单位收支业务管理的决策部门，负责审批单位收支业务等事项。涉及“三重一大”事项，根据《克州科技交流中心集体决策制度》和《克州科技交流中心项目管理办法》办理。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科技交流中心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科技交流中心合同管理办法》相关规定，科技交流中心领导班子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92.27（全年预算数）万元，项目支出安排资金0（全年算数）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本单位2021年度项目支出0万元，涉及项目数量0个，其中：重点项目支出0万元，涉及重点项目数量0个，重点项目支出与部门项目总支出的比率为0%。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2021年度本单位年初批复部门预算资金总额为69.35万元，年中调增预算总额为22.92万元，调整后全年预算资金总额为92.27万元。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2021年度本单位部门整体支出资金总额为76.32万元，预算执行率为82.7%，预算调整率为33.05%。</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年初政府采购预算数为6.2万元，实际政府采购数为0万元，政府采购执行率为0%。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19D223F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6CED88D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为加强我单位预算管理、规范财务行为我单位制定了《科技交流中心内部控制规范》《科技交流中心项目管理规范》等资金管理制度，已建立制度均健全且有效运行。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2021年度我单位基本支出预算总额为92.27（全年预算数）万元，其中人员经费68.75（全年预算数）万元，公用经费23.52（全年预算数）万元。实际执行总额为76.32（决算数）万元，预算执行率82.7%。</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0万元，比上年减少0万元，减少0%，主要原因是：按照厉行节约的要求，2021年缩减公务车运行维护费，因此支出随之减少。其中，因公出国（境）费支出0万元；公务用车购置及运行维护费支出0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与年初预算数相比情况：一般公共预算“三公”经费支出年初预算数0万元，预算执行数为0万元，执行率为0%，主要原因是：按照厉行节约的要求，2021年缩减公务车运行维护费，因此支出随之减少。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p>
    <w:p w14:paraId="2FE0898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5C68F3E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14:paraId="671D217C">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3608356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本单位2021年初资产合计数为11.6万元，年末资产合计数为20.31万元。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截止本年度固定资产账面净值3.83万元，年末实际在用固定资产3.83万元，固定资产利用率为100%。</w:t>
      </w:r>
    </w:p>
    <w:p w14:paraId="26E14F0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1DBCD77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部门单位整体支出共设置一级指标3个，二级指标7个，三级指标11个，其中已完成三级指标11个，指标完成率为100%。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“保障人员工资（人）”指标：预期指标值为13，实际完成指标值为13，指标完成率为100%。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“保障车辆运行（辆）”预期指标值为1，实际完成指标值为1，指标完成率为100%。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“科技工作前期调研次数（次）”预期指标值为4，实际完成指标值为4，指标完成率为100%。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“区域覆盖率（%）”指标：预期指标值为&gt;=95%，实际完成指标值为95%，指标完成率为100%。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“绩效考核合格率(%)”指标：预期指标值为&gt;=95%，实际完成指标值为&gt;=95%，指标完成率为100%。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“各项工作按期开展及时（%）”指标：预期指标值为&gt;=95%，实际完成指标值为&gt;=95%，指标完成率为100%。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“人员经费（万元）”指标：预期指标值为≤61.6元，实际完成指标值为≤61.6万元，指标完成率为100%。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“公用经费（万元）”指标：预期指标值为≤7.75万元，实际完成指标值为≤7.75万元，指标完成率为100%。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“提高科技工作水平”指标：预期指标值为有效提高，实际完成指标值为有效提高，指标完成率为100%。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“持续提升科技服务质量”指标：预期指标值为持续提升，实际完成指标值为持续提升，指标完成率为100%。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p>
    <w:p w14:paraId="160FFCE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68E656A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4478B66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3C6BDD7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A5D6E94"/>
    <w:rsid w:val="200F4073"/>
    <w:rsid w:val="24B86128"/>
    <w:rsid w:val="277A1076"/>
    <w:rsid w:val="2D6C7A1B"/>
    <w:rsid w:val="317A34E2"/>
    <w:rsid w:val="4E67395A"/>
    <w:rsid w:val="51C70EA9"/>
    <w:rsid w:val="546970D6"/>
    <w:rsid w:val="54F842B6"/>
    <w:rsid w:val="57D10A58"/>
    <w:rsid w:val="656071F2"/>
    <w:rsid w:val="6BBF44FE"/>
    <w:rsid w:val="6BF1756B"/>
    <w:rsid w:val="6F5E1AA3"/>
    <w:rsid w:val="72FF4676"/>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7091</Words>
  <Characters>7334</Characters>
  <Lines>2</Lines>
  <Paragraphs>1</Paragraphs>
  <TotalTime>28</TotalTime>
  <ScaleCrop>false</ScaleCrop>
  <LinksUpToDate>false</LinksUpToDate>
  <CharactersWithSpaces>7546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2025-07-31T03:11:16Z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